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"/>
        <w:gridCol w:w="295"/>
        <w:gridCol w:w="1251"/>
        <w:gridCol w:w="342"/>
        <w:gridCol w:w="1049"/>
        <w:gridCol w:w="232"/>
        <w:gridCol w:w="616"/>
        <w:gridCol w:w="720"/>
        <w:gridCol w:w="763"/>
        <w:gridCol w:w="591"/>
        <w:gridCol w:w="3235"/>
      </w:tblGrid>
      <w:tr w:rsidR="00FB1CD9" w:rsidRPr="00FB1CD9" w:rsidTr="00FB1CD9">
        <w:trPr>
          <w:trHeight w:val="1170"/>
        </w:trPr>
        <w:tc>
          <w:tcPr>
            <w:tcW w:w="23128" w:type="dxa"/>
            <w:gridSpan w:val="11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bookmarkStart w:id="0" w:name="RANGE!A2:K87"/>
            <w:r w:rsidRPr="00FB1CD9">
              <w:rPr>
                <w:b/>
                <w:bCs/>
              </w:rPr>
              <w:t>“GUÍA DE CUMPLIMIENTO DE LA LEY DE DISCIPLINA FINANCIERA DE LAS ENTIDADES FEDERATIVAS Y LOS MUNICIPIOS”</w:t>
            </w:r>
            <w:bookmarkEnd w:id="0"/>
          </w:p>
        </w:tc>
      </w:tr>
      <w:tr w:rsidR="00FB1CD9" w:rsidRPr="00FB1CD9" w:rsidTr="00FB1CD9">
        <w:trPr>
          <w:trHeight w:val="30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</w:p>
        </w:tc>
        <w:tc>
          <w:tcPr>
            <w:tcW w:w="460" w:type="dxa"/>
            <w:hideMark/>
          </w:tcPr>
          <w:p w:rsidR="00FB1CD9" w:rsidRPr="00FB1CD9" w:rsidRDefault="00FB1CD9"/>
        </w:tc>
        <w:tc>
          <w:tcPr>
            <w:tcW w:w="3420" w:type="dxa"/>
            <w:hideMark/>
          </w:tcPr>
          <w:p w:rsidR="00FB1CD9" w:rsidRPr="00FB1CD9" w:rsidRDefault="00FB1CD9"/>
        </w:tc>
        <w:tc>
          <w:tcPr>
            <w:tcW w:w="600" w:type="dxa"/>
            <w:hideMark/>
          </w:tcPr>
          <w:p w:rsidR="00FB1CD9" w:rsidRPr="00FB1CD9" w:rsidRDefault="00FB1CD9"/>
        </w:tc>
        <w:tc>
          <w:tcPr>
            <w:tcW w:w="2796" w:type="dxa"/>
            <w:hideMark/>
          </w:tcPr>
          <w:p w:rsidR="00FB1CD9" w:rsidRPr="00FB1CD9" w:rsidRDefault="00FB1CD9"/>
        </w:tc>
        <w:tc>
          <w:tcPr>
            <w:tcW w:w="85" w:type="dxa"/>
            <w:hideMark/>
          </w:tcPr>
          <w:p w:rsidR="00FB1CD9" w:rsidRPr="00FB1CD9" w:rsidRDefault="00FB1CD9"/>
        </w:tc>
        <w:tc>
          <w:tcPr>
            <w:tcW w:w="1385" w:type="dxa"/>
            <w:hideMark/>
          </w:tcPr>
          <w:p w:rsidR="00FB1CD9" w:rsidRPr="00FB1CD9" w:rsidRDefault="00FB1CD9"/>
        </w:tc>
        <w:tc>
          <w:tcPr>
            <w:tcW w:w="1730" w:type="dxa"/>
            <w:hideMark/>
          </w:tcPr>
          <w:p w:rsidR="00FB1CD9" w:rsidRPr="00FB1CD9" w:rsidRDefault="00FB1CD9"/>
        </w:tc>
        <w:tc>
          <w:tcPr>
            <w:tcW w:w="1884" w:type="dxa"/>
            <w:hideMark/>
          </w:tcPr>
          <w:p w:rsidR="00FB1CD9" w:rsidRPr="00FB1CD9" w:rsidRDefault="00FB1CD9"/>
        </w:tc>
        <w:tc>
          <w:tcPr>
            <w:tcW w:w="1197" w:type="dxa"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/>
        </w:tc>
      </w:tr>
      <w:tr w:rsidR="00FB1CD9" w:rsidRPr="00FB1CD9" w:rsidTr="00FB1CD9">
        <w:trPr>
          <w:trHeight w:val="315"/>
        </w:trPr>
        <w:tc>
          <w:tcPr>
            <w:tcW w:w="23128" w:type="dxa"/>
            <w:gridSpan w:val="11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</w:tr>
      <w:tr w:rsidR="00FB1CD9" w:rsidRPr="00FB1CD9" w:rsidTr="00FB1CD9">
        <w:trPr>
          <w:trHeight w:val="375"/>
        </w:trPr>
        <w:tc>
          <w:tcPr>
            <w:tcW w:w="23128" w:type="dxa"/>
            <w:gridSpan w:val="11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Gobierno del Estado de Baja California Sur </w:t>
            </w:r>
          </w:p>
        </w:tc>
      </w:tr>
      <w:tr w:rsidR="00FB1CD9" w:rsidRPr="00FB1CD9" w:rsidTr="00FB1CD9">
        <w:trPr>
          <w:trHeight w:val="375"/>
        </w:trPr>
        <w:tc>
          <w:tcPr>
            <w:tcW w:w="23128" w:type="dxa"/>
            <w:gridSpan w:val="11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Guía de Cumplimiento de la Ley de Disciplina Financiera de las Entidades Federativas y Municipios</w:t>
            </w:r>
          </w:p>
        </w:tc>
      </w:tr>
      <w:tr w:rsidR="00FB1CD9" w:rsidRPr="00FB1CD9" w:rsidTr="00FB1CD9">
        <w:trPr>
          <w:trHeight w:val="375"/>
        </w:trPr>
        <w:tc>
          <w:tcPr>
            <w:tcW w:w="23128" w:type="dxa"/>
            <w:gridSpan w:val="11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Del 1 de enero al 31 de diciembre de 2024</w:t>
            </w:r>
          </w:p>
        </w:tc>
      </w:tr>
      <w:tr w:rsidR="00FB1CD9" w:rsidRPr="00FB1CD9" w:rsidTr="00FB1CD9">
        <w:trPr>
          <w:trHeight w:val="315"/>
        </w:trPr>
        <w:tc>
          <w:tcPr>
            <w:tcW w:w="23128" w:type="dxa"/>
            <w:gridSpan w:val="11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4032" w:type="dxa"/>
            <w:gridSpan w:val="3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 </w:t>
            </w:r>
          </w:p>
        </w:tc>
        <w:tc>
          <w:tcPr>
            <w:tcW w:w="4866" w:type="dxa"/>
            <w:gridSpan w:val="4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Implementación</w:t>
            </w:r>
          </w:p>
        </w:tc>
        <w:tc>
          <w:tcPr>
            <w:tcW w:w="3614" w:type="dxa"/>
            <w:gridSpan w:val="2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Resultado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Fundamento (h)</w:t>
            </w:r>
          </w:p>
        </w:tc>
        <w:tc>
          <w:tcPr>
            <w:tcW w:w="9419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Comentarios (i)</w:t>
            </w:r>
          </w:p>
        </w:tc>
      </w:tr>
      <w:tr w:rsidR="00FB1CD9" w:rsidRPr="00FB1CD9" w:rsidTr="00FB1CD9">
        <w:trPr>
          <w:trHeight w:val="315"/>
        </w:trPr>
        <w:tc>
          <w:tcPr>
            <w:tcW w:w="4032" w:type="dxa"/>
            <w:gridSpan w:val="3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3396" w:type="dxa"/>
            <w:gridSpan w:val="2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1470" w:type="dxa"/>
            <w:gridSpan w:val="2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NO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197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9419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</w:tr>
      <w:tr w:rsidR="00FB1CD9" w:rsidRPr="00FB1CD9" w:rsidTr="00FB1CD9">
        <w:trPr>
          <w:trHeight w:val="630"/>
        </w:trPr>
        <w:tc>
          <w:tcPr>
            <w:tcW w:w="4032" w:type="dxa"/>
            <w:gridSpan w:val="3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Mecanismo de Verificación (d)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 w:rsidP="00FB1CD9">
            <w:r w:rsidRPr="00FB1CD9">
              <w:t xml:space="preserve">Fecha estimada de cumplimiento (e) 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Monto o valor (f)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Unidad (pesos/porcentaje) (g)</w:t>
            </w:r>
          </w:p>
        </w:tc>
        <w:tc>
          <w:tcPr>
            <w:tcW w:w="1197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9419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</w:tr>
      <w:tr w:rsidR="00FB1CD9" w:rsidRPr="00FB1CD9" w:rsidTr="00FB1CD9">
        <w:trPr>
          <w:trHeight w:val="342"/>
        </w:trPr>
        <w:tc>
          <w:tcPr>
            <w:tcW w:w="8898" w:type="dxa"/>
            <w:gridSpan w:val="7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INDICADORES PRESUPUESTARIOS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</w:tr>
      <w:tr w:rsidR="00FB1CD9" w:rsidRPr="00FB1CD9" w:rsidTr="00FB1CD9">
        <w:trPr>
          <w:trHeight w:val="342"/>
        </w:trPr>
        <w:tc>
          <w:tcPr>
            <w:tcW w:w="8898" w:type="dxa"/>
            <w:gridSpan w:val="7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A. INDICADORES CUANTITATIVOS</w:t>
            </w:r>
          </w:p>
        </w:tc>
        <w:tc>
          <w:tcPr>
            <w:tcW w:w="1730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9419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</w:tr>
      <w:tr w:rsidR="00FB1CD9" w:rsidRPr="00FB1CD9" w:rsidTr="00FB1CD9">
        <w:trPr>
          <w:trHeight w:val="342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1</w:t>
            </w:r>
          </w:p>
        </w:tc>
        <w:tc>
          <w:tcPr>
            <w:tcW w:w="3880" w:type="dxa"/>
            <w:gridSpan w:val="2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Balance Presupuestario Sostenible (j)</w:t>
            </w:r>
          </w:p>
        </w:tc>
        <w:tc>
          <w:tcPr>
            <w:tcW w:w="60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2295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a.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Propuesto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Iniciativa de Ley de Ingresos y Proyecto de Presupuesto de Egresos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0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6 y 19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4" w:history="1">
              <w:r w:rsidRPr="00FB1CD9">
                <w:rPr>
                  <w:rStyle w:val="Hipervnculo"/>
                </w:rPr>
                <w:t>https://finanzas.bcs.gob.mx/wp-content/themes/voice/assets/images/transparencia/marco_program/ley_ingresos/inici_ley_ing2024.pdf</w:t>
              </w:r>
            </w:hyperlink>
          </w:p>
        </w:tc>
      </w:tr>
      <w:tr w:rsidR="00FB1CD9" w:rsidRPr="00FB1CD9" w:rsidTr="00FB1CD9">
        <w:trPr>
          <w:trHeight w:val="2100"/>
        </w:trPr>
        <w:tc>
          <w:tcPr>
            <w:tcW w:w="152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46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342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/>
        </w:tc>
        <w:tc>
          <w:tcPr>
            <w:tcW w:w="1385" w:type="dxa"/>
            <w:vMerge/>
            <w:hideMark/>
          </w:tcPr>
          <w:p w:rsidR="00FB1CD9" w:rsidRPr="00FB1CD9" w:rsidRDefault="00FB1CD9"/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5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2715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b.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Estimada/Aprobado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Ley de Ingresos y Presupuesto de Egresos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0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6 y 19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6" w:history="1">
              <w:r w:rsidRPr="00FB1CD9">
                <w:rPr>
                  <w:rStyle w:val="Hipervnculo"/>
                </w:rPr>
                <w:t>https://finanzas.bcs.gob.mx/wp-content/themes/voice/assets/images/armonizacion_contable/cumpl_V/anual/2024/01.-%20Ley%20de%20Ingresos%20para%20el%20Ejercicio%20Fiscal%202024.pdf</w:t>
              </w:r>
            </w:hyperlink>
          </w:p>
        </w:tc>
      </w:tr>
      <w:tr w:rsidR="00FB1CD9" w:rsidRPr="00FB1CD9" w:rsidTr="00FB1CD9">
        <w:trPr>
          <w:trHeight w:val="2603"/>
        </w:trPr>
        <w:tc>
          <w:tcPr>
            <w:tcW w:w="152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46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342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/>
        </w:tc>
        <w:tc>
          <w:tcPr>
            <w:tcW w:w="1385" w:type="dxa"/>
            <w:vMerge/>
            <w:hideMark/>
          </w:tcPr>
          <w:p w:rsidR="00FB1CD9" w:rsidRPr="00FB1CD9" w:rsidRDefault="00FB1CD9"/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7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645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c.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Devengado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Cuenta Pública / Formato 4 LDF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 w:rsidP="00FB1CD9">
            <w:r w:rsidRPr="00FB1CD9">
              <w:t>N/A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4,102,386,917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6 y 19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330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2</w:t>
            </w:r>
          </w:p>
        </w:tc>
        <w:tc>
          <w:tcPr>
            <w:tcW w:w="7276" w:type="dxa"/>
            <w:gridSpan w:val="4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Balance Presupuestario de Recursos Disponibles Sostenible (k)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2235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a.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Propuesto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Iniciativa de Ley de Ingresos y Proyecto de Presupuesto de Egresos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0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6 y 19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8" w:history="1">
              <w:r w:rsidRPr="00FB1CD9">
                <w:rPr>
                  <w:rStyle w:val="Hipervnculo"/>
                </w:rPr>
                <w:t>https://finanzas.bcs.gob.mx/wp-content/themes/voice/assets/images/transparencia/marco_program/ley_ingresos/inici_ley_ing2024.pdf</w:t>
              </w:r>
            </w:hyperlink>
          </w:p>
        </w:tc>
      </w:tr>
      <w:tr w:rsidR="00FB1CD9" w:rsidRPr="00FB1CD9" w:rsidTr="00FB1CD9">
        <w:trPr>
          <w:trHeight w:val="2100"/>
        </w:trPr>
        <w:tc>
          <w:tcPr>
            <w:tcW w:w="152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46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342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1385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9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2835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b.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Estimada/Aprobado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Ley de Ingresos y Presupuesto de Egresos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0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6 y 19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10" w:history="1">
              <w:r w:rsidRPr="00FB1CD9">
                <w:rPr>
                  <w:rStyle w:val="Hipervnculo"/>
                </w:rPr>
                <w:t>https://finanzas.bcs.gob.mx/wp-content/themes/voice/assets/images/armonizacion_contable/cumpl_V/anual/2024/01.-%20Ley%20de%20Ingresos%20para%20el%20Ejercicio%20Fiscal%202024.pdf</w:t>
              </w:r>
            </w:hyperlink>
          </w:p>
        </w:tc>
      </w:tr>
      <w:tr w:rsidR="00FB1CD9" w:rsidRPr="00FB1CD9" w:rsidTr="00FB1CD9">
        <w:trPr>
          <w:trHeight w:val="2520"/>
        </w:trPr>
        <w:tc>
          <w:tcPr>
            <w:tcW w:w="152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46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342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1385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11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63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c.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Devengado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Cuenta Pública / Formato 4 LDF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 w:rsidP="00FB1CD9">
            <w:r w:rsidRPr="00FB1CD9">
              <w:t>N/A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3,822,721,100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6 y 19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3</w:t>
            </w:r>
          </w:p>
        </w:tc>
        <w:tc>
          <w:tcPr>
            <w:tcW w:w="7276" w:type="dxa"/>
            <w:gridSpan w:val="4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Financiamiento Neto dentro del Techo de Financiamiento Neto (l)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2280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a.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Propuesto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Iniciativa de Ley de Ingresos y Proyecto de Presupuesto de Egresos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-62,573,779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6, 19 y 46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12" w:history="1">
              <w:r w:rsidRPr="00FB1CD9">
                <w:rPr>
                  <w:rStyle w:val="Hipervnculo"/>
                </w:rPr>
                <w:t>https://finanzas.bcs.gob.mx/wp-content/themes/voice/assets/images/transparencia/marco_program/ley_ingresos/inici_ley_ing2024.pdf</w:t>
              </w:r>
            </w:hyperlink>
          </w:p>
        </w:tc>
      </w:tr>
      <w:tr w:rsidR="00FB1CD9" w:rsidRPr="00FB1CD9" w:rsidTr="00FB1CD9">
        <w:trPr>
          <w:trHeight w:val="2430"/>
        </w:trPr>
        <w:tc>
          <w:tcPr>
            <w:tcW w:w="152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46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342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1385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13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2805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b.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Aprobado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Ley de Ingresos y Presupuesto de Egresos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-62,573,779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6, 19 y 46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14" w:history="1">
              <w:r w:rsidRPr="00FB1CD9">
                <w:rPr>
                  <w:rStyle w:val="Hipervnculo"/>
                </w:rPr>
                <w:t>https://finanzas.bcs.gob.mx/wp-content/themes/voice/assets/images/armonizacion_contable/cumpl_V/anual/2024/01.-%20Ley%20de%20Ingresos%20para%20el%20Ejercicio%20Fiscal%202024.pdf</w:t>
              </w:r>
            </w:hyperlink>
          </w:p>
        </w:tc>
      </w:tr>
      <w:tr w:rsidR="00FB1CD9" w:rsidRPr="00FB1CD9" w:rsidTr="00FB1CD9">
        <w:trPr>
          <w:trHeight w:val="2895"/>
        </w:trPr>
        <w:tc>
          <w:tcPr>
            <w:tcW w:w="152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46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342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1385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15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63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c.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Devengado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Cuenta Pública / Formato 4 LDF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 w:rsidP="00FB1CD9">
            <w:r w:rsidRPr="00FB1CD9">
              <w:t>N/A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487,426,221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6, 19 y 46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4</w:t>
            </w:r>
          </w:p>
        </w:tc>
        <w:tc>
          <w:tcPr>
            <w:tcW w:w="7276" w:type="dxa"/>
            <w:gridSpan w:val="4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Recursos destinados a la atención de desastres naturales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645"/>
        </w:trPr>
        <w:tc>
          <w:tcPr>
            <w:tcW w:w="152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>a.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Asignación al fideicomiso para desastres naturales (m)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605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a.1 Aprobado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SI, </w:t>
            </w:r>
            <w:proofErr w:type="spellStart"/>
            <w:r w:rsidRPr="00FB1CD9">
              <w:rPr>
                <w:b/>
                <w:bCs/>
              </w:rPr>
              <w:t>pag.</w:t>
            </w:r>
            <w:proofErr w:type="spellEnd"/>
            <w:r w:rsidRPr="00FB1CD9">
              <w:rPr>
                <w:b/>
                <w:bCs/>
              </w:rPr>
              <w:t xml:space="preserve"> 338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 xml:space="preserve">Reporte </w:t>
            </w:r>
            <w:proofErr w:type="spellStart"/>
            <w:r w:rsidRPr="00FB1CD9">
              <w:t>Trim</w:t>
            </w:r>
            <w:proofErr w:type="spellEnd"/>
            <w:r w:rsidRPr="00FB1CD9">
              <w:t>. Formato 6 a)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14,885,400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16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315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a.2 Pagado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Cuenta Pública / Formato 6 a)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575"/>
        </w:trPr>
        <w:tc>
          <w:tcPr>
            <w:tcW w:w="152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>b.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Aportación promedio realizada por la Entidad Federativa durante los 5 ejercicios previos, para infraestructura dañada por desastres naturales (n)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Autorizaciones de recursos aprobados por el FONDEN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630"/>
        </w:trPr>
        <w:tc>
          <w:tcPr>
            <w:tcW w:w="152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>c.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Saldo del fideicomiso para desastres naturales (o)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Cuenta Pública / Auxiliar de Cuentas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260"/>
        </w:trPr>
        <w:tc>
          <w:tcPr>
            <w:tcW w:w="152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>d.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Costo promedio de los últimos 5 ejercicios de la reconstrucción de infraestructura dañada por desastres naturales (p)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Autorizaciones de recursos aprobados por el FONDEN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330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5</w:t>
            </w:r>
          </w:p>
        </w:tc>
        <w:tc>
          <w:tcPr>
            <w:tcW w:w="3880" w:type="dxa"/>
            <w:gridSpan w:val="2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Techo para servicios personales (q)</w:t>
            </w:r>
          </w:p>
        </w:tc>
        <w:tc>
          <w:tcPr>
            <w:tcW w:w="60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645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 xml:space="preserve">a. 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Asignación en el Presupuest</w:t>
            </w:r>
            <w:r w:rsidRPr="00FB1CD9">
              <w:lastRenderedPageBreak/>
              <w:t>o de Egresos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lastRenderedPageBreak/>
              <w:t>SI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 xml:space="preserve">Reporte </w:t>
            </w:r>
            <w:proofErr w:type="spellStart"/>
            <w:r w:rsidRPr="00FB1CD9">
              <w:t>Trim</w:t>
            </w:r>
            <w:proofErr w:type="spellEnd"/>
            <w:r w:rsidRPr="00FB1CD9">
              <w:t>. Formato 6 d)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1,960,840,999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 xml:space="preserve">Art. 10 y 21 de </w:t>
            </w:r>
            <w:r w:rsidRPr="00FB1CD9">
              <w:lastRenderedPageBreak/>
              <w:t>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r w:rsidRPr="00FB1CD9">
              <w:rPr>
                <w:u w:val="single"/>
              </w:rPr>
              <w:lastRenderedPageBreak/>
              <w:t> </w:t>
            </w:r>
          </w:p>
        </w:tc>
      </w:tr>
      <w:tr w:rsidR="00FB1CD9" w:rsidRPr="00FB1CD9" w:rsidTr="00FB1CD9">
        <w:trPr>
          <w:trHeight w:val="63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 xml:space="preserve">b. 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Ejercido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 xml:space="preserve">Reporte </w:t>
            </w:r>
            <w:proofErr w:type="spellStart"/>
            <w:r w:rsidRPr="00FB1CD9">
              <w:t>Trim</w:t>
            </w:r>
            <w:proofErr w:type="spellEnd"/>
            <w:r w:rsidRPr="00FB1CD9">
              <w:t>. Formato 6 d)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1,997,994,363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 xml:space="preserve">Art. 13 </w:t>
            </w:r>
            <w:proofErr w:type="spellStart"/>
            <w:r w:rsidRPr="00FB1CD9">
              <w:t>fracc.</w:t>
            </w:r>
            <w:proofErr w:type="spellEnd"/>
            <w:r w:rsidRPr="00FB1CD9">
              <w:t xml:space="preserve"> V y 21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r w:rsidRPr="00FB1CD9">
              <w:rPr>
                <w:u w:val="single"/>
              </w:rPr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6</w:t>
            </w:r>
          </w:p>
        </w:tc>
        <w:tc>
          <w:tcPr>
            <w:tcW w:w="7276" w:type="dxa"/>
            <w:gridSpan w:val="4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Previsiones de gasto para compromisos de pago derivados de </w:t>
            </w:r>
            <w:proofErr w:type="spellStart"/>
            <w:r w:rsidRPr="00FB1CD9">
              <w:rPr>
                <w:b/>
                <w:bCs/>
              </w:rPr>
              <w:t>APPs</w:t>
            </w:r>
            <w:proofErr w:type="spellEnd"/>
            <w:r w:rsidRPr="00FB1CD9">
              <w:rPr>
                <w:b/>
                <w:bCs/>
              </w:rPr>
              <w:t xml:space="preserve"> (r) 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63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 xml:space="preserve">a. 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Asignación en el Presupuesto de Egresos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Presupuesto de Egresos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11 y 21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7</w:t>
            </w:r>
          </w:p>
        </w:tc>
        <w:tc>
          <w:tcPr>
            <w:tcW w:w="4480" w:type="dxa"/>
            <w:gridSpan w:val="3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Techo de ADEFAS para el ejercicio fiscal (s)</w:t>
            </w:r>
          </w:p>
        </w:tc>
        <w:tc>
          <w:tcPr>
            <w:tcW w:w="2796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63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 xml:space="preserve">a. 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Propuesto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Proyecto de Presupuesto de Egresos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0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12 y 20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63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 xml:space="preserve">b. 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Aprobado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 xml:space="preserve">Reporte </w:t>
            </w:r>
            <w:proofErr w:type="spellStart"/>
            <w:r w:rsidRPr="00FB1CD9">
              <w:t>Trim</w:t>
            </w:r>
            <w:proofErr w:type="spellEnd"/>
            <w:r w:rsidRPr="00FB1CD9">
              <w:t>. Formato 6 a)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0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12 y 20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r w:rsidRPr="00FB1CD9">
              <w:rPr>
                <w:u w:val="single"/>
              </w:rPr>
              <w:t> </w:t>
            </w:r>
          </w:p>
        </w:tc>
      </w:tr>
      <w:tr w:rsidR="00FB1CD9" w:rsidRPr="00FB1CD9" w:rsidTr="00FB1CD9">
        <w:trPr>
          <w:trHeight w:val="63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>c.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Ejercido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Cuenta Pública / Formato 6 a)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12 y 20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8898" w:type="dxa"/>
            <w:gridSpan w:val="7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B. INDICADORES CUALITATIVOS</w:t>
            </w:r>
          </w:p>
        </w:tc>
        <w:tc>
          <w:tcPr>
            <w:tcW w:w="1730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9419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1</w:t>
            </w:r>
          </w:p>
        </w:tc>
        <w:tc>
          <w:tcPr>
            <w:tcW w:w="7276" w:type="dxa"/>
            <w:gridSpan w:val="4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Iniciativa de Ley de Ingresos y Proyecto de Presupuesto de Egresos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2325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r w:rsidRPr="00FB1CD9">
              <w:lastRenderedPageBreak/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r w:rsidRPr="00FB1CD9">
              <w:t>a.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r w:rsidRPr="00FB1CD9">
              <w:t>Objetivos anuales, estrategias y metas para el ejercicio fiscal (t)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SI, </w:t>
            </w:r>
            <w:proofErr w:type="spellStart"/>
            <w:r w:rsidRPr="00FB1CD9">
              <w:rPr>
                <w:b/>
                <w:bCs/>
              </w:rPr>
              <w:t>pag.</w:t>
            </w:r>
            <w:proofErr w:type="spellEnd"/>
            <w:r w:rsidRPr="00FB1CD9">
              <w:rPr>
                <w:b/>
                <w:bCs/>
              </w:rPr>
              <w:t xml:space="preserve"> 03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Iniciativa de Ley de Ingresos y Proyecto de Presupuesto de Egresos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5 y 18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17" w:history="1">
              <w:r w:rsidRPr="00FB1CD9">
                <w:rPr>
                  <w:rStyle w:val="Hipervnculo"/>
                </w:rPr>
                <w:t>https://finanzas.bcs.gob.mx/wp-content/themes/voice/assets/images/transparencia/marco_program/ley_ingresos/inici_ley_ing2024.pdf</w:t>
              </w:r>
            </w:hyperlink>
          </w:p>
        </w:tc>
      </w:tr>
      <w:tr w:rsidR="00FB1CD9" w:rsidRPr="00FB1CD9" w:rsidTr="00FB1CD9">
        <w:trPr>
          <w:trHeight w:val="2063"/>
        </w:trPr>
        <w:tc>
          <w:tcPr>
            <w:tcW w:w="152" w:type="dxa"/>
            <w:vMerge/>
            <w:hideMark/>
          </w:tcPr>
          <w:p w:rsidR="00FB1CD9" w:rsidRPr="00FB1CD9" w:rsidRDefault="00FB1CD9"/>
        </w:tc>
        <w:tc>
          <w:tcPr>
            <w:tcW w:w="460" w:type="dxa"/>
            <w:vMerge/>
            <w:hideMark/>
          </w:tcPr>
          <w:p w:rsidR="00FB1CD9" w:rsidRPr="00FB1CD9" w:rsidRDefault="00FB1CD9"/>
        </w:tc>
        <w:tc>
          <w:tcPr>
            <w:tcW w:w="3420" w:type="dxa"/>
            <w:vMerge/>
            <w:hideMark/>
          </w:tcPr>
          <w:p w:rsidR="00FB1CD9" w:rsidRPr="00FB1CD9" w:rsidRDefault="00FB1CD9"/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/>
        </w:tc>
        <w:tc>
          <w:tcPr>
            <w:tcW w:w="1385" w:type="dxa"/>
            <w:vMerge/>
            <w:hideMark/>
          </w:tcPr>
          <w:p w:rsidR="00FB1CD9" w:rsidRPr="00FB1CD9" w:rsidRDefault="00FB1CD9"/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18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2265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r w:rsidRPr="00FB1CD9">
              <w:t>b.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r w:rsidRPr="00FB1CD9">
              <w:t>Proyecciones de ejercicios posteriores (u)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SI, </w:t>
            </w:r>
            <w:proofErr w:type="spellStart"/>
            <w:r w:rsidRPr="00FB1CD9">
              <w:rPr>
                <w:b/>
                <w:bCs/>
              </w:rPr>
              <w:t>pag.</w:t>
            </w:r>
            <w:proofErr w:type="spellEnd"/>
            <w:r w:rsidRPr="00FB1CD9">
              <w:rPr>
                <w:b/>
                <w:bCs/>
              </w:rPr>
              <w:t xml:space="preserve"> 34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Iniciativa de Ley de Ingresos y Proyecto de Presupuesto de Egresos / Formatos 7 a) y b)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5 y 18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19" w:history="1">
              <w:r w:rsidRPr="00FB1CD9">
                <w:rPr>
                  <w:rStyle w:val="Hipervnculo"/>
                </w:rPr>
                <w:t>https://finanzas.bcs.gob.mx/wp-content/themes/voice/assets/images/transparencia/marco_program/ley_ingresos/inici_ley_ing2024.pdf</w:t>
              </w:r>
            </w:hyperlink>
          </w:p>
        </w:tc>
      </w:tr>
      <w:tr w:rsidR="00FB1CD9" w:rsidRPr="00FB1CD9" w:rsidTr="00FB1CD9">
        <w:trPr>
          <w:trHeight w:val="2805"/>
        </w:trPr>
        <w:tc>
          <w:tcPr>
            <w:tcW w:w="152" w:type="dxa"/>
            <w:vMerge/>
            <w:hideMark/>
          </w:tcPr>
          <w:p w:rsidR="00FB1CD9" w:rsidRPr="00FB1CD9" w:rsidRDefault="00FB1CD9"/>
        </w:tc>
        <w:tc>
          <w:tcPr>
            <w:tcW w:w="460" w:type="dxa"/>
            <w:vMerge/>
            <w:hideMark/>
          </w:tcPr>
          <w:p w:rsidR="00FB1CD9" w:rsidRPr="00FB1CD9" w:rsidRDefault="00FB1CD9"/>
        </w:tc>
        <w:tc>
          <w:tcPr>
            <w:tcW w:w="3420" w:type="dxa"/>
            <w:vMerge/>
            <w:hideMark/>
          </w:tcPr>
          <w:p w:rsidR="00FB1CD9" w:rsidRPr="00FB1CD9" w:rsidRDefault="00FB1CD9"/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/>
        </w:tc>
        <w:tc>
          <w:tcPr>
            <w:tcW w:w="1385" w:type="dxa"/>
            <w:vMerge/>
            <w:hideMark/>
          </w:tcPr>
          <w:p w:rsidR="00FB1CD9" w:rsidRPr="00FB1CD9" w:rsidRDefault="00FB1CD9"/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20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2190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r w:rsidRPr="00FB1CD9">
              <w:t>c.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r w:rsidRPr="00FB1CD9">
              <w:t xml:space="preserve">Descripción de riesgos relevantes y propuestas de acción para </w:t>
            </w:r>
            <w:r w:rsidRPr="00FB1CD9">
              <w:lastRenderedPageBreak/>
              <w:t>enfrentarlos (v)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lastRenderedPageBreak/>
              <w:t xml:space="preserve">SI, </w:t>
            </w:r>
            <w:proofErr w:type="spellStart"/>
            <w:r w:rsidRPr="00FB1CD9">
              <w:rPr>
                <w:b/>
                <w:bCs/>
              </w:rPr>
              <w:t>pag.</w:t>
            </w:r>
            <w:proofErr w:type="spellEnd"/>
            <w:r w:rsidRPr="00FB1CD9">
              <w:rPr>
                <w:b/>
                <w:bCs/>
              </w:rPr>
              <w:t xml:space="preserve"> 18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Iniciativa de Ley de Ingresos y Proyecto de Presupu</w:t>
            </w:r>
            <w:r w:rsidRPr="00FB1CD9">
              <w:lastRenderedPageBreak/>
              <w:t>esto de Egresos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r w:rsidRPr="00FB1CD9">
              <w:lastRenderedPageBreak/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5 y 18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21" w:history="1">
              <w:r w:rsidRPr="00FB1CD9">
                <w:rPr>
                  <w:rStyle w:val="Hipervnculo"/>
                </w:rPr>
                <w:t>https://finanzas.bcs.gob.mx/wp-content/themes/voice/assets/images/transparencia/marco_program/ley_ingresos/inici_ley_ing2024.pdf</w:t>
              </w:r>
            </w:hyperlink>
          </w:p>
        </w:tc>
      </w:tr>
      <w:tr w:rsidR="00FB1CD9" w:rsidRPr="00FB1CD9" w:rsidTr="00FB1CD9">
        <w:trPr>
          <w:trHeight w:val="1905"/>
        </w:trPr>
        <w:tc>
          <w:tcPr>
            <w:tcW w:w="152" w:type="dxa"/>
            <w:vMerge/>
            <w:hideMark/>
          </w:tcPr>
          <w:p w:rsidR="00FB1CD9" w:rsidRPr="00FB1CD9" w:rsidRDefault="00FB1CD9"/>
        </w:tc>
        <w:tc>
          <w:tcPr>
            <w:tcW w:w="460" w:type="dxa"/>
            <w:vMerge/>
            <w:hideMark/>
          </w:tcPr>
          <w:p w:rsidR="00FB1CD9" w:rsidRPr="00FB1CD9" w:rsidRDefault="00FB1CD9"/>
        </w:tc>
        <w:tc>
          <w:tcPr>
            <w:tcW w:w="3420" w:type="dxa"/>
            <w:vMerge/>
            <w:hideMark/>
          </w:tcPr>
          <w:p w:rsidR="00FB1CD9" w:rsidRPr="00FB1CD9" w:rsidRDefault="00FB1CD9"/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/>
        </w:tc>
        <w:tc>
          <w:tcPr>
            <w:tcW w:w="1385" w:type="dxa"/>
            <w:vMerge/>
            <w:hideMark/>
          </w:tcPr>
          <w:p w:rsidR="00FB1CD9" w:rsidRPr="00FB1CD9" w:rsidRDefault="00FB1CD9"/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22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1800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r w:rsidRPr="00FB1CD9">
              <w:t>d.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r w:rsidRPr="00FB1CD9">
              <w:t>Resultados de ejercicios fiscales anteriores y el ejercicio fiscal en cuestión (w)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SI, </w:t>
            </w:r>
            <w:proofErr w:type="spellStart"/>
            <w:r w:rsidRPr="00FB1CD9">
              <w:rPr>
                <w:b/>
                <w:bCs/>
              </w:rPr>
              <w:t>pag</w:t>
            </w:r>
            <w:proofErr w:type="spellEnd"/>
            <w:r w:rsidRPr="00FB1CD9">
              <w:rPr>
                <w:b/>
                <w:bCs/>
              </w:rPr>
              <w:t xml:space="preserve"> 35. 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Iniciativa de Ley de Ingresos y Proyecto de Presupuesto de Egresos / Formatos 7 c) y d)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5 y 18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23" w:history="1">
              <w:r w:rsidRPr="00FB1CD9">
                <w:rPr>
                  <w:rStyle w:val="Hipervnculo"/>
                </w:rPr>
                <w:t xml:space="preserve">https://finanzas.bcs.gob.mx/wp-content/themes/voice/assets/images/transparencia/marco_program/ley_ingresos/inici_ley_ing2024.pdf </w:t>
              </w:r>
            </w:hyperlink>
          </w:p>
        </w:tc>
      </w:tr>
      <w:tr w:rsidR="00FB1CD9" w:rsidRPr="00FB1CD9" w:rsidTr="00FB1CD9">
        <w:trPr>
          <w:trHeight w:val="1950"/>
        </w:trPr>
        <w:tc>
          <w:tcPr>
            <w:tcW w:w="152" w:type="dxa"/>
            <w:vMerge/>
            <w:hideMark/>
          </w:tcPr>
          <w:p w:rsidR="00FB1CD9" w:rsidRPr="00FB1CD9" w:rsidRDefault="00FB1CD9"/>
        </w:tc>
        <w:tc>
          <w:tcPr>
            <w:tcW w:w="460" w:type="dxa"/>
            <w:vMerge/>
            <w:hideMark/>
          </w:tcPr>
          <w:p w:rsidR="00FB1CD9" w:rsidRPr="00FB1CD9" w:rsidRDefault="00FB1CD9"/>
        </w:tc>
        <w:tc>
          <w:tcPr>
            <w:tcW w:w="3420" w:type="dxa"/>
            <w:vMerge/>
            <w:hideMark/>
          </w:tcPr>
          <w:p w:rsidR="00FB1CD9" w:rsidRPr="00FB1CD9" w:rsidRDefault="00FB1CD9"/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/>
        </w:tc>
        <w:tc>
          <w:tcPr>
            <w:tcW w:w="1385" w:type="dxa"/>
            <w:vMerge/>
            <w:hideMark/>
          </w:tcPr>
          <w:p w:rsidR="00FB1CD9" w:rsidRPr="00FB1CD9" w:rsidRDefault="00FB1CD9"/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24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2535"/>
        </w:trPr>
        <w:tc>
          <w:tcPr>
            <w:tcW w:w="152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vMerge w:val="restart"/>
            <w:hideMark/>
          </w:tcPr>
          <w:p w:rsidR="00FB1CD9" w:rsidRPr="00FB1CD9" w:rsidRDefault="00FB1CD9" w:rsidP="00FB1CD9">
            <w:r w:rsidRPr="00FB1CD9">
              <w:t>e.</w:t>
            </w:r>
          </w:p>
        </w:tc>
        <w:tc>
          <w:tcPr>
            <w:tcW w:w="3420" w:type="dxa"/>
            <w:vMerge w:val="restart"/>
            <w:hideMark/>
          </w:tcPr>
          <w:p w:rsidR="00FB1CD9" w:rsidRPr="00FB1CD9" w:rsidRDefault="00FB1CD9">
            <w:r w:rsidRPr="00FB1CD9">
              <w:t>Estudio actuarial de las pensiones de sus trabajadores (x)</w:t>
            </w:r>
          </w:p>
        </w:tc>
        <w:tc>
          <w:tcPr>
            <w:tcW w:w="600" w:type="dxa"/>
            <w:vMerge w:val="restart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SI, </w:t>
            </w:r>
            <w:proofErr w:type="spellStart"/>
            <w:r w:rsidRPr="00FB1CD9">
              <w:rPr>
                <w:b/>
                <w:bCs/>
              </w:rPr>
              <w:t>pag.</w:t>
            </w:r>
            <w:proofErr w:type="spellEnd"/>
            <w:r w:rsidRPr="00FB1CD9">
              <w:rPr>
                <w:b/>
                <w:bCs/>
              </w:rPr>
              <w:t xml:space="preserve"> 322</w:t>
            </w:r>
          </w:p>
        </w:tc>
        <w:tc>
          <w:tcPr>
            <w:tcW w:w="2796" w:type="dxa"/>
            <w:vMerge w:val="restart"/>
            <w:hideMark/>
          </w:tcPr>
          <w:p w:rsidR="00FB1CD9" w:rsidRPr="00FB1CD9" w:rsidRDefault="00FB1CD9" w:rsidP="00FB1CD9">
            <w:r w:rsidRPr="00FB1CD9">
              <w:t>Proyecto de Presupuesto de Egresos / Formato 8</w:t>
            </w:r>
          </w:p>
        </w:tc>
        <w:tc>
          <w:tcPr>
            <w:tcW w:w="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730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vMerge w:val="restart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vMerge w:val="restart"/>
            <w:hideMark/>
          </w:tcPr>
          <w:p w:rsidR="00FB1CD9" w:rsidRPr="00FB1CD9" w:rsidRDefault="00FB1CD9" w:rsidP="00FB1CD9">
            <w:r w:rsidRPr="00FB1CD9">
              <w:t>Art. 5 y 18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25" w:history="1">
              <w:r w:rsidRPr="00FB1CD9">
                <w:rPr>
                  <w:rStyle w:val="Hipervnculo"/>
                </w:rPr>
                <w:t>https://finanzas.bcs.gob.mx/wp-content/themes/voice/assets/images/armonizacion_contable/cumpl_V/anual/2024/01.-%20Ley%20de%20Ingresos%20para%20el%20Ejercicio%20Fiscal%202024.pdf</w:t>
              </w:r>
            </w:hyperlink>
          </w:p>
        </w:tc>
      </w:tr>
      <w:tr w:rsidR="00FB1CD9" w:rsidRPr="00FB1CD9" w:rsidTr="00FB1CD9">
        <w:trPr>
          <w:trHeight w:val="2220"/>
        </w:trPr>
        <w:tc>
          <w:tcPr>
            <w:tcW w:w="152" w:type="dxa"/>
            <w:vMerge/>
            <w:hideMark/>
          </w:tcPr>
          <w:p w:rsidR="00FB1CD9" w:rsidRPr="00FB1CD9" w:rsidRDefault="00FB1CD9"/>
        </w:tc>
        <w:tc>
          <w:tcPr>
            <w:tcW w:w="460" w:type="dxa"/>
            <w:vMerge/>
            <w:hideMark/>
          </w:tcPr>
          <w:p w:rsidR="00FB1CD9" w:rsidRPr="00FB1CD9" w:rsidRDefault="00FB1CD9"/>
        </w:tc>
        <w:tc>
          <w:tcPr>
            <w:tcW w:w="3420" w:type="dxa"/>
            <w:vMerge/>
            <w:hideMark/>
          </w:tcPr>
          <w:p w:rsidR="00FB1CD9" w:rsidRPr="00FB1CD9" w:rsidRDefault="00FB1CD9"/>
        </w:tc>
        <w:tc>
          <w:tcPr>
            <w:tcW w:w="600" w:type="dxa"/>
            <w:vMerge/>
            <w:hideMark/>
          </w:tcPr>
          <w:p w:rsidR="00FB1CD9" w:rsidRPr="00FB1CD9" w:rsidRDefault="00FB1CD9">
            <w:pPr>
              <w:rPr>
                <w:b/>
                <w:bCs/>
              </w:rPr>
            </w:pPr>
          </w:p>
        </w:tc>
        <w:tc>
          <w:tcPr>
            <w:tcW w:w="2796" w:type="dxa"/>
            <w:vMerge/>
            <w:hideMark/>
          </w:tcPr>
          <w:p w:rsidR="00FB1CD9" w:rsidRPr="00FB1CD9" w:rsidRDefault="00FB1CD9"/>
        </w:tc>
        <w:tc>
          <w:tcPr>
            <w:tcW w:w="85" w:type="dxa"/>
            <w:vMerge/>
            <w:hideMark/>
          </w:tcPr>
          <w:p w:rsidR="00FB1CD9" w:rsidRPr="00FB1CD9" w:rsidRDefault="00FB1CD9"/>
        </w:tc>
        <w:tc>
          <w:tcPr>
            <w:tcW w:w="1385" w:type="dxa"/>
            <w:vMerge/>
            <w:hideMark/>
          </w:tcPr>
          <w:p w:rsidR="00FB1CD9" w:rsidRPr="00FB1CD9" w:rsidRDefault="00FB1CD9"/>
        </w:tc>
        <w:tc>
          <w:tcPr>
            <w:tcW w:w="1730" w:type="dxa"/>
            <w:vMerge/>
            <w:hideMark/>
          </w:tcPr>
          <w:p w:rsidR="00FB1CD9" w:rsidRPr="00FB1CD9" w:rsidRDefault="00FB1CD9"/>
        </w:tc>
        <w:tc>
          <w:tcPr>
            <w:tcW w:w="1884" w:type="dxa"/>
            <w:vMerge/>
            <w:hideMark/>
          </w:tcPr>
          <w:p w:rsidR="00FB1CD9" w:rsidRPr="00FB1CD9" w:rsidRDefault="00FB1CD9"/>
        </w:tc>
        <w:tc>
          <w:tcPr>
            <w:tcW w:w="1197" w:type="dxa"/>
            <w:vMerge/>
            <w:hideMark/>
          </w:tcPr>
          <w:p w:rsidR="00FB1CD9" w:rsidRPr="00FB1CD9" w:rsidRDefault="00FB1CD9"/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u w:val="single"/>
              </w:rPr>
            </w:pPr>
            <w:hyperlink r:id="rId26" w:history="1">
              <w:r w:rsidRPr="00FB1CD9">
                <w:rPr>
                  <w:rStyle w:val="Hipervnculo"/>
                </w:rPr>
                <w:t>https://finanzas.bcs.gob.mx/wp-content/themes/voice/assets/images/boletines/2024/24.pdf</w:t>
              </w:r>
            </w:hyperlink>
          </w:p>
        </w:tc>
      </w:tr>
      <w:tr w:rsidR="00FB1CD9" w:rsidRPr="00FB1CD9" w:rsidTr="00FB1CD9">
        <w:trPr>
          <w:trHeight w:val="315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2</w:t>
            </w:r>
          </w:p>
        </w:tc>
        <w:tc>
          <w:tcPr>
            <w:tcW w:w="7276" w:type="dxa"/>
            <w:gridSpan w:val="4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Balance Presupuestario de Recursos Disponibles, en caso de ser negativo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590"/>
        </w:trPr>
        <w:tc>
          <w:tcPr>
            <w:tcW w:w="152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>a.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Razones excepcionales que justifican el Balance Presupuest</w:t>
            </w:r>
            <w:r w:rsidRPr="00FB1CD9">
              <w:lastRenderedPageBreak/>
              <w:t>ario de Recursos Disponibles negativo (y)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lastRenderedPageBreak/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 xml:space="preserve">Iniciativa de Ley de Ingresos o Proyecto </w:t>
            </w:r>
            <w:r w:rsidRPr="00FB1CD9">
              <w:lastRenderedPageBreak/>
              <w:t>de Presupuesto de Egresos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lastRenderedPageBreak/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6 y 19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635"/>
        </w:trPr>
        <w:tc>
          <w:tcPr>
            <w:tcW w:w="152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>b.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Fuente de recursos para cubrir el Balance Presupuestario de Recursos Disponibles negativo (z)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Iniciativa de Ley de Ingresos o Proyecto de Presupuesto de Egresos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6 y 19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875"/>
        </w:trPr>
        <w:tc>
          <w:tcPr>
            <w:tcW w:w="152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>c.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Número de ejercicios fiscales y acciones necesarias para cubrir el Balance Presupuestario de Recursos Disponibles negativo (</w:t>
            </w:r>
            <w:proofErr w:type="spellStart"/>
            <w:r w:rsidRPr="00FB1CD9">
              <w:t>aa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Iniciativa de Ley de Ingresos o Proyecto de Presupuesto de Egresos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6 y 19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980"/>
        </w:trPr>
        <w:tc>
          <w:tcPr>
            <w:tcW w:w="152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>d.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Informes Trimestrales sobre el avance de las acciones para recuperar el Balance Presupuestario de Recursos Disponibles (</w:t>
            </w:r>
            <w:proofErr w:type="spellStart"/>
            <w:r w:rsidRPr="00FB1CD9">
              <w:t>bb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 xml:space="preserve">Reporte </w:t>
            </w:r>
            <w:proofErr w:type="spellStart"/>
            <w:r w:rsidRPr="00FB1CD9">
              <w:t>Trim</w:t>
            </w:r>
            <w:proofErr w:type="spellEnd"/>
            <w:r w:rsidRPr="00FB1CD9">
              <w:t>. y Cuenta Pública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6 y 19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330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3</w:t>
            </w:r>
          </w:p>
        </w:tc>
        <w:tc>
          <w:tcPr>
            <w:tcW w:w="3880" w:type="dxa"/>
            <w:gridSpan w:val="2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Servicios Personales</w:t>
            </w:r>
          </w:p>
        </w:tc>
        <w:tc>
          <w:tcPr>
            <w:tcW w:w="60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2415"/>
        </w:trPr>
        <w:tc>
          <w:tcPr>
            <w:tcW w:w="152" w:type="dxa"/>
            <w:hideMark/>
          </w:tcPr>
          <w:p w:rsidR="00FB1CD9" w:rsidRPr="00FB1CD9" w:rsidRDefault="00FB1CD9" w:rsidP="00FB1CD9">
            <w:r w:rsidRPr="00FB1CD9">
              <w:lastRenderedPageBreak/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 xml:space="preserve">a. 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Remuneraciones de los servidores públicos (</w:t>
            </w:r>
            <w:proofErr w:type="spellStart"/>
            <w:r w:rsidRPr="00FB1CD9">
              <w:t>cc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SI, </w:t>
            </w:r>
            <w:proofErr w:type="spellStart"/>
            <w:r w:rsidRPr="00FB1CD9">
              <w:rPr>
                <w:b/>
                <w:bCs/>
              </w:rPr>
              <w:t>pag.</w:t>
            </w:r>
            <w:proofErr w:type="spellEnd"/>
            <w:r w:rsidRPr="00FB1CD9">
              <w:rPr>
                <w:b/>
                <w:bCs/>
              </w:rPr>
              <w:t xml:space="preserve"> 99 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Proyecto de Presupuesto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10 y 21 de la LDF</w:t>
            </w:r>
          </w:p>
        </w:tc>
        <w:tc>
          <w:tcPr>
            <w:tcW w:w="9419" w:type="dxa"/>
            <w:hideMark/>
          </w:tcPr>
          <w:p w:rsidR="00FB1CD9" w:rsidRPr="00FB1CD9" w:rsidRDefault="00FB1CD9">
            <w:pPr>
              <w:rPr>
                <w:u w:val="single"/>
              </w:rPr>
            </w:pPr>
            <w:r w:rsidRPr="00FB1CD9">
              <w:rPr>
                <w:u w:val="single"/>
              </w:rPr>
              <w:t>https://www.info-congreso.gob.mx/images/archivos/art_78/decretos-2023-2024/GOB-ESTADO/PRESUPUESTO%202024/INICIATIVAproyecto_presupuesto_egresos_2024%20(1).pdf</w:t>
            </w:r>
          </w:p>
        </w:tc>
      </w:tr>
      <w:tr w:rsidR="00FB1CD9" w:rsidRPr="00FB1CD9" w:rsidTr="00FB1CD9">
        <w:trPr>
          <w:trHeight w:val="2505"/>
        </w:trPr>
        <w:tc>
          <w:tcPr>
            <w:tcW w:w="152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hideMark/>
          </w:tcPr>
          <w:p w:rsidR="00FB1CD9" w:rsidRPr="00FB1CD9" w:rsidRDefault="00FB1CD9" w:rsidP="00FB1CD9">
            <w:r w:rsidRPr="00FB1CD9">
              <w:t xml:space="preserve">b. 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Previsiones salariales y económicas para cubrir incrementos salariales, creación de plazas y otros (</w:t>
            </w:r>
            <w:proofErr w:type="spellStart"/>
            <w:r w:rsidRPr="00FB1CD9">
              <w:t>dd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SI, </w:t>
            </w:r>
            <w:proofErr w:type="spellStart"/>
            <w:r w:rsidRPr="00FB1CD9">
              <w:rPr>
                <w:b/>
                <w:bCs/>
              </w:rPr>
              <w:t>pag.</w:t>
            </w:r>
            <w:proofErr w:type="spellEnd"/>
            <w:r w:rsidRPr="00FB1CD9">
              <w:rPr>
                <w:b/>
                <w:bCs/>
              </w:rPr>
              <w:t xml:space="preserve"> 80 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Proyecto de Presupuesto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10 y 21 de la LDF</w:t>
            </w:r>
          </w:p>
        </w:tc>
        <w:tc>
          <w:tcPr>
            <w:tcW w:w="9419" w:type="dxa"/>
            <w:hideMark/>
          </w:tcPr>
          <w:p w:rsidR="00FB1CD9" w:rsidRPr="00FB1CD9" w:rsidRDefault="00FB1CD9">
            <w:pPr>
              <w:rPr>
                <w:u w:val="single"/>
              </w:rPr>
            </w:pPr>
            <w:r w:rsidRPr="00FB1CD9">
              <w:rPr>
                <w:u w:val="single"/>
              </w:rPr>
              <w:t>https://www.info-congreso.gob.mx/images/archivos/art_78/decretos-2023-2024/GOB-ESTADO/PRESUPUESTO%202024/INICIATIVAproyecto_presupuesto_egresos_2024%20(1).pdf</w:t>
            </w:r>
          </w:p>
        </w:tc>
      </w:tr>
      <w:tr w:rsidR="00FB1CD9" w:rsidRPr="00FB1CD9" w:rsidTr="00FB1CD9">
        <w:trPr>
          <w:trHeight w:val="315"/>
        </w:trPr>
        <w:tc>
          <w:tcPr>
            <w:tcW w:w="152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/>
        </w:tc>
        <w:tc>
          <w:tcPr>
            <w:tcW w:w="3420" w:type="dxa"/>
            <w:noWrap/>
            <w:hideMark/>
          </w:tcPr>
          <w:p w:rsidR="00FB1CD9" w:rsidRPr="00FB1CD9" w:rsidRDefault="00FB1CD9" w:rsidP="00FB1CD9"/>
        </w:tc>
        <w:tc>
          <w:tcPr>
            <w:tcW w:w="600" w:type="dxa"/>
            <w:noWrap/>
            <w:hideMark/>
          </w:tcPr>
          <w:p w:rsidR="00FB1CD9" w:rsidRPr="00FB1CD9" w:rsidRDefault="00FB1CD9" w:rsidP="00FB1CD9"/>
        </w:tc>
        <w:tc>
          <w:tcPr>
            <w:tcW w:w="2796" w:type="dxa"/>
            <w:noWrap/>
            <w:hideMark/>
          </w:tcPr>
          <w:p w:rsidR="00FB1CD9" w:rsidRPr="00FB1CD9" w:rsidRDefault="00FB1CD9" w:rsidP="00FB1CD9"/>
        </w:tc>
        <w:tc>
          <w:tcPr>
            <w:tcW w:w="85" w:type="dxa"/>
            <w:noWrap/>
            <w:hideMark/>
          </w:tcPr>
          <w:p w:rsidR="00FB1CD9" w:rsidRPr="00FB1CD9" w:rsidRDefault="00FB1CD9" w:rsidP="00FB1CD9"/>
        </w:tc>
        <w:tc>
          <w:tcPr>
            <w:tcW w:w="1385" w:type="dxa"/>
            <w:noWrap/>
            <w:hideMark/>
          </w:tcPr>
          <w:p w:rsidR="00FB1CD9" w:rsidRPr="00FB1CD9" w:rsidRDefault="00FB1CD9" w:rsidP="00FB1CD9"/>
        </w:tc>
        <w:tc>
          <w:tcPr>
            <w:tcW w:w="1730" w:type="dxa"/>
            <w:noWrap/>
            <w:hideMark/>
          </w:tcPr>
          <w:p w:rsidR="00FB1CD9" w:rsidRPr="00FB1CD9" w:rsidRDefault="00FB1CD9" w:rsidP="00FB1CD9"/>
        </w:tc>
        <w:tc>
          <w:tcPr>
            <w:tcW w:w="1884" w:type="dxa"/>
            <w:noWrap/>
            <w:hideMark/>
          </w:tcPr>
          <w:p w:rsidR="00FB1CD9" w:rsidRPr="00FB1CD9" w:rsidRDefault="00FB1CD9" w:rsidP="00FB1CD9"/>
        </w:tc>
        <w:tc>
          <w:tcPr>
            <w:tcW w:w="1197" w:type="dxa"/>
            <w:noWrap/>
            <w:hideMark/>
          </w:tcPr>
          <w:p w:rsidR="00FB1CD9" w:rsidRPr="00FB1CD9" w:rsidRDefault="00FB1CD9" w:rsidP="00FB1CD9"/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8898" w:type="dxa"/>
            <w:gridSpan w:val="7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INDICADORES DEL EJERCICIO PRESUPUESTARIO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8898" w:type="dxa"/>
            <w:gridSpan w:val="7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A. INDICADORES CUANTITATIVOS</w:t>
            </w:r>
          </w:p>
        </w:tc>
        <w:tc>
          <w:tcPr>
            <w:tcW w:w="1730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9419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1</w:t>
            </w:r>
          </w:p>
        </w:tc>
        <w:tc>
          <w:tcPr>
            <w:tcW w:w="7276" w:type="dxa"/>
            <w:gridSpan w:val="4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Ingresos Excedentes derivados de Ingresos de Libre Disposición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93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>a.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Monto de Ingresos Excedentes derivados de ILD (</w:t>
            </w:r>
            <w:proofErr w:type="spellStart"/>
            <w:r w:rsidRPr="00FB1CD9">
              <w:t>ee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Si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 xml:space="preserve">Cuenta Pública / Formato 5 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2,520,005,909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14 y 21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395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>b.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Monto de Ingresos Excedentes derivados de ILD destinados al fin del A.14, fracción I de la LDF (</w:t>
            </w:r>
            <w:proofErr w:type="spellStart"/>
            <w:r w:rsidRPr="00FB1CD9">
              <w:t>ff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Cuenta Pública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14 y 21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29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>c.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 xml:space="preserve">Monto de Ingresos Excedentes derivados de ILD </w:t>
            </w:r>
            <w:r w:rsidRPr="00FB1CD9">
              <w:lastRenderedPageBreak/>
              <w:t>destinados al fin del A.14, fracción II, a) de la LDF (</w:t>
            </w:r>
            <w:proofErr w:type="spellStart"/>
            <w:r w:rsidRPr="00FB1CD9">
              <w:t>gg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lastRenderedPageBreak/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Cuenta Pública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 xml:space="preserve">Art. 14 y 21 de </w:t>
            </w:r>
            <w:r w:rsidRPr="00FB1CD9">
              <w:lastRenderedPageBreak/>
              <w:t>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lastRenderedPageBreak/>
              <w:t> </w:t>
            </w:r>
          </w:p>
        </w:tc>
      </w:tr>
      <w:tr w:rsidR="00FB1CD9" w:rsidRPr="00FB1CD9" w:rsidTr="00FB1CD9">
        <w:trPr>
          <w:trHeight w:val="138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>d.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Monto de Ingresos Excedentes derivados de ILD destinados al fin del A.14, fracción II, b) de la LDF (</w:t>
            </w:r>
            <w:proofErr w:type="spellStart"/>
            <w:r w:rsidRPr="00FB1CD9">
              <w:t>hh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Cuenta Pública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14 y 21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665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>e.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Monto de Ingresos Excedentes derivados de ILD destinados al fin del artículo noveno transitorio de la LDF (</w:t>
            </w:r>
            <w:proofErr w:type="spellStart"/>
            <w:r w:rsidRPr="00FB1CD9">
              <w:t>ii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Noveno Transitorio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195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>f.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Monto de Ingresos Excedentes derivados de ILD destinados al fin señalado por el Artículo 14, párrafo segundo y en el artículo 21 y Noveno Transitorio de la LDF (</w:t>
            </w:r>
            <w:proofErr w:type="spellStart"/>
            <w:r w:rsidRPr="00FB1CD9">
              <w:t>jj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14 y 21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2295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>g.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Monto de Ingresos Excedentes derivados de ILD en un nivel de endeudamiento sostenible de acuerdo al Sistema de Alertas hasta por el 5% de los recursos para cubrir el Gasto Corriente (</w:t>
            </w:r>
            <w:proofErr w:type="spellStart"/>
            <w:r w:rsidRPr="00FB1CD9">
              <w:t>kk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14 y 21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8898" w:type="dxa"/>
            <w:gridSpan w:val="7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B. INDICADORES CUALITATIVOS</w:t>
            </w:r>
          </w:p>
        </w:tc>
        <w:tc>
          <w:tcPr>
            <w:tcW w:w="1730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9419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</w:tr>
      <w:tr w:rsidR="00FB1CD9" w:rsidRPr="00FB1CD9" w:rsidTr="00FB1CD9">
        <w:trPr>
          <w:trHeight w:val="945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1</w:t>
            </w:r>
          </w:p>
        </w:tc>
        <w:tc>
          <w:tcPr>
            <w:tcW w:w="3880" w:type="dxa"/>
            <w:gridSpan w:val="2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Análisis Costo-Beneficio para programas o proyectos de inversión mayores a 10 millones de UDIS (</w:t>
            </w:r>
            <w:proofErr w:type="spellStart"/>
            <w:r w:rsidRPr="00FB1CD9">
              <w:rPr>
                <w:b/>
                <w:bCs/>
              </w:rPr>
              <w:t>jj</w:t>
            </w:r>
            <w:proofErr w:type="spellEnd"/>
            <w:r w:rsidRPr="00FB1CD9">
              <w:rPr>
                <w:b/>
                <w:bCs/>
              </w:rPr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Página de internet de la Secretaría de Finanzas o Tesorería Municipal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13 frac. III y 21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945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2</w:t>
            </w:r>
          </w:p>
        </w:tc>
        <w:tc>
          <w:tcPr>
            <w:tcW w:w="3880" w:type="dxa"/>
            <w:gridSpan w:val="2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Análisis de conveniencia y análisis de transferencia de riesgos de los proyectos </w:t>
            </w:r>
            <w:proofErr w:type="spellStart"/>
            <w:r w:rsidRPr="00FB1CD9">
              <w:rPr>
                <w:b/>
                <w:bCs/>
              </w:rPr>
              <w:t>APPs</w:t>
            </w:r>
            <w:proofErr w:type="spellEnd"/>
            <w:r w:rsidRPr="00FB1CD9">
              <w:rPr>
                <w:b/>
                <w:bCs/>
              </w:rPr>
              <w:t xml:space="preserve"> (</w:t>
            </w:r>
            <w:proofErr w:type="spellStart"/>
            <w:r w:rsidRPr="00FB1CD9">
              <w:rPr>
                <w:b/>
                <w:bCs/>
              </w:rPr>
              <w:t>kk</w:t>
            </w:r>
            <w:proofErr w:type="spellEnd"/>
            <w:r w:rsidRPr="00FB1CD9">
              <w:rPr>
                <w:b/>
                <w:bCs/>
              </w:rPr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Página de internet de la Secretaría de Finanzas o Tesorería Municipal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13 frac. III y 21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945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3</w:t>
            </w:r>
          </w:p>
        </w:tc>
        <w:tc>
          <w:tcPr>
            <w:tcW w:w="3880" w:type="dxa"/>
            <w:gridSpan w:val="2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 xml:space="preserve">Identificación de población objetivo, destino y temporalidad </w:t>
            </w:r>
            <w:r w:rsidRPr="00FB1CD9">
              <w:rPr>
                <w:b/>
                <w:bCs/>
              </w:rPr>
              <w:lastRenderedPageBreak/>
              <w:t>de subsidios (ll)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lastRenderedPageBreak/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Página de internet de la Secretarí</w:t>
            </w:r>
            <w:r w:rsidRPr="00FB1CD9">
              <w:lastRenderedPageBreak/>
              <w:t>a de Finanzas o Tesorería Municipal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lastRenderedPageBreak/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 xml:space="preserve">Art. 13 frac. VII y 21 </w:t>
            </w:r>
            <w:r w:rsidRPr="00FB1CD9">
              <w:lastRenderedPageBreak/>
              <w:t>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lastRenderedPageBreak/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8898" w:type="dxa"/>
            <w:gridSpan w:val="7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INDICADORES DE DEUDA PÚBLICA</w:t>
            </w:r>
          </w:p>
        </w:tc>
        <w:tc>
          <w:tcPr>
            <w:tcW w:w="1730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884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1197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9419" w:type="dxa"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</w:tr>
      <w:tr w:rsidR="00FB1CD9" w:rsidRPr="00FB1CD9" w:rsidTr="00FB1CD9">
        <w:trPr>
          <w:trHeight w:val="315"/>
        </w:trPr>
        <w:tc>
          <w:tcPr>
            <w:tcW w:w="23128" w:type="dxa"/>
            <w:gridSpan w:val="11"/>
            <w:hideMark/>
          </w:tcPr>
          <w:p w:rsidR="00FB1CD9" w:rsidRPr="00FB1CD9" w:rsidRDefault="00FB1CD9">
            <w:r w:rsidRPr="00FB1CD9">
              <w:t>A. INDICADORES CUANTITATIVOS</w:t>
            </w:r>
          </w:p>
        </w:tc>
      </w:tr>
      <w:tr w:rsidR="00FB1CD9" w:rsidRPr="00FB1CD9" w:rsidTr="00FB1CD9">
        <w:trPr>
          <w:trHeight w:val="315"/>
        </w:trPr>
        <w:tc>
          <w:tcPr>
            <w:tcW w:w="152" w:type="dxa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1</w:t>
            </w:r>
          </w:p>
        </w:tc>
        <w:tc>
          <w:tcPr>
            <w:tcW w:w="3880" w:type="dxa"/>
            <w:gridSpan w:val="2"/>
            <w:noWrap/>
            <w:hideMark/>
          </w:tcPr>
          <w:p w:rsidR="00FB1CD9" w:rsidRPr="00FB1CD9" w:rsidRDefault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Obligaciones a Corto Plazo</w:t>
            </w:r>
          </w:p>
        </w:tc>
        <w:tc>
          <w:tcPr>
            <w:tcW w:w="60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noWrap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884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197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9419" w:type="dxa"/>
            <w:noWrap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63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>a.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Límite de Obligaciones a Corto Plazo (</w:t>
            </w:r>
            <w:proofErr w:type="spellStart"/>
            <w:r w:rsidRPr="00FB1CD9">
              <w:t>oo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 xml:space="preserve">      1,433,826,463.20 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30 frac. I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  <w:tr w:rsidR="00FB1CD9" w:rsidRPr="00FB1CD9" w:rsidTr="00FB1CD9">
        <w:trPr>
          <w:trHeight w:val="630"/>
        </w:trPr>
        <w:tc>
          <w:tcPr>
            <w:tcW w:w="152" w:type="dxa"/>
            <w:hideMark/>
          </w:tcPr>
          <w:p w:rsidR="00FB1CD9" w:rsidRPr="00FB1CD9" w:rsidRDefault="00FB1CD9" w:rsidP="00FB1CD9">
            <w:pPr>
              <w:rPr>
                <w:b/>
                <w:bCs/>
              </w:rPr>
            </w:pPr>
            <w:r w:rsidRPr="00FB1CD9">
              <w:rPr>
                <w:b/>
                <w:bCs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FB1CD9" w:rsidRPr="00FB1CD9" w:rsidRDefault="00FB1CD9" w:rsidP="00FB1CD9">
            <w:r w:rsidRPr="00FB1CD9">
              <w:t>b.</w:t>
            </w:r>
          </w:p>
        </w:tc>
        <w:tc>
          <w:tcPr>
            <w:tcW w:w="3420" w:type="dxa"/>
            <w:hideMark/>
          </w:tcPr>
          <w:p w:rsidR="00FB1CD9" w:rsidRPr="00FB1CD9" w:rsidRDefault="00FB1CD9">
            <w:r w:rsidRPr="00FB1CD9">
              <w:t>Obligaciones a Corto Plazo (</w:t>
            </w:r>
            <w:proofErr w:type="spellStart"/>
            <w:r w:rsidRPr="00FB1CD9">
              <w:t>pp</w:t>
            </w:r>
            <w:proofErr w:type="spellEnd"/>
            <w:r w:rsidRPr="00FB1CD9">
              <w:t>)</w:t>
            </w:r>
          </w:p>
        </w:tc>
        <w:tc>
          <w:tcPr>
            <w:tcW w:w="600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2796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85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  <w:tc>
          <w:tcPr>
            <w:tcW w:w="1385" w:type="dxa"/>
            <w:hideMark/>
          </w:tcPr>
          <w:p w:rsidR="00FB1CD9" w:rsidRPr="00FB1CD9" w:rsidRDefault="00FB1CD9">
            <w:r w:rsidRPr="00FB1CD9">
              <w:t> </w:t>
            </w:r>
          </w:p>
        </w:tc>
        <w:tc>
          <w:tcPr>
            <w:tcW w:w="1730" w:type="dxa"/>
            <w:hideMark/>
          </w:tcPr>
          <w:p w:rsidR="00FB1CD9" w:rsidRPr="00FB1CD9" w:rsidRDefault="00FB1CD9" w:rsidP="00FB1CD9">
            <w:r w:rsidRPr="00FB1CD9">
              <w:t xml:space="preserve">         550,000,000.00 </w:t>
            </w:r>
          </w:p>
        </w:tc>
        <w:tc>
          <w:tcPr>
            <w:tcW w:w="1884" w:type="dxa"/>
            <w:hideMark/>
          </w:tcPr>
          <w:p w:rsidR="00FB1CD9" w:rsidRPr="00FB1CD9" w:rsidRDefault="00FB1CD9" w:rsidP="00FB1CD9">
            <w:r w:rsidRPr="00FB1CD9">
              <w:t>pesos</w:t>
            </w:r>
          </w:p>
        </w:tc>
        <w:tc>
          <w:tcPr>
            <w:tcW w:w="1197" w:type="dxa"/>
            <w:hideMark/>
          </w:tcPr>
          <w:p w:rsidR="00FB1CD9" w:rsidRPr="00FB1CD9" w:rsidRDefault="00FB1CD9" w:rsidP="00FB1CD9">
            <w:r w:rsidRPr="00FB1CD9">
              <w:t>Art. 30 frac. I de la LDF</w:t>
            </w:r>
          </w:p>
        </w:tc>
        <w:tc>
          <w:tcPr>
            <w:tcW w:w="9419" w:type="dxa"/>
            <w:hideMark/>
          </w:tcPr>
          <w:p w:rsidR="00FB1CD9" w:rsidRPr="00FB1CD9" w:rsidRDefault="00FB1CD9" w:rsidP="00FB1CD9">
            <w:r w:rsidRPr="00FB1CD9">
              <w:t> </w:t>
            </w:r>
          </w:p>
        </w:tc>
      </w:tr>
    </w:tbl>
    <w:p w:rsidR="008F1CD6" w:rsidRDefault="008F1CD6"/>
    <w:sectPr w:rsidR="008F1CD6" w:rsidSect="00FB1CD9">
      <w:pgSz w:w="12240" w:h="15840" w:code="1"/>
      <w:pgMar w:top="1276" w:right="1183" w:bottom="1417" w:left="1701" w:header="709" w:footer="709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D9"/>
    <w:rsid w:val="002F3363"/>
    <w:rsid w:val="003D5FD1"/>
    <w:rsid w:val="00564A29"/>
    <w:rsid w:val="008F1CD6"/>
    <w:rsid w:val="00CC275D"/>
    <w:rsid w:val="00FB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EE234-FF5A-4CD4-BB60-09F0E85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1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1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1C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1C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C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C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C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C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1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1C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1C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1C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C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1CD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B1CD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1CD9"/>
    <w:rPr>
      <w:color w:val="800080"/>
      <w:u w:val="single"/>
    </w:rPr>
  </w:style>
  <w:style w:type="paragraph" w:customStyle="1" w:styleId="msonormal0">
    <w:name w:val="msonormal"/>
    <w:basedOn w:val="Normal"/>
    <w:rsid w:val="00FB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5">
    <w:name w:val="xl65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es-MX"/>
      <w14:ligatures w14:val="none"/>
    </w:rPr>
  </w:style>
  <w:style w:type="paragraph" w:customStyle="1" w:styleId="xl66">
    <w:name w:val="xl66"/>
    <w:basedOn w:val="Normal"/>
    <w:rsid w:val="00FB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7">
    <w:name w:val="xl67"/>
    <w:basedOn w:val="Normal"/>
    <w:rsid w:val="00FB1CD9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68">
    <w:name w:val="xl68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69">
    <w:name w:val="xl69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70">
    <w:name w:val="xl70"/>
    <w:basedOn w:val="Normal"/>
    <w:rsid w:val="00FB1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71">
    <w:name w:val="xl71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72">
    <w:name w:val="xl72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73">
    <w:name w:val="xl73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74">
    <w:name w:val="xl74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75">
    <w:name w:val="xl75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76">
    <w:name w:val="xl76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77">
    <w:name w:val="xl77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78">
    <w:name w:val="xl78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79">
    <w:name w:val="xl79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80">
    <w:name w:val="xl80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81">
    <w:name w:val="xl81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82">
    <w:name w:val="xl82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83">
    <w:name w:val="xl83"/>
    <w:basedOn w:val="Normal"/>
    <w:rsid w:val="00FB1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84">
    <w:name w:val="xl84"/>
    <w:basedOn w:val="Normal"/>
    <w:rsid w:val="00FB1CD9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85">
    <w:name w:val="xl85"/>
    <w:basedOn w:val="Normal"/>
    <w:rsid w:val="00FB1CD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86">
    <w:name w:val="xl86"/>
    <w:basedOn w:val="Normal"/>
    <w:rsid w:val="00FB1CD9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87">
    <w:name w:val="xl87"/>
    <w:basedOn w:val="Normal"/>
    <w:rsid w:val="00FB1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88">
    <w:name w:val="xl88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89">
    <w:name w:val="xl89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90">
    <w:name w:val="xl90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91">
    <w:name w:val="xl91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92">
    <w:name w:val="xl92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93">
    <w:name w:val="xl93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94">
    <w:name w:val="xl94"/>
    <w:basedOn w:val="Normal"/>
    <w:rsid w:val="00FB1CD9"/>
    <w:pPr>
      <w:pBdr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95">
    <w:name w:val="xl95"/>
    <w:basedOn w:val="Normal"/>
    <w:rsid w:val="00FB1CD9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96">
    <w:name w:val="xl96"/>
    <w:basedOn w:val="Normal"/>
    <w:rsid w:val="00FB1CD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97">
    <w:name w:val="xl97"/>
    <w:basedOn w:val="Normal"/>
    <w:rsid w:val="00FB1CD9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98">
    <w:name w:val="xl98"/>
    <w:basedOn w:val="Normal"/>
    <w:rsid w:val="00FB1CD9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99">
    <w:name w:val="xl99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00">
    <w:name w:val="xl100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01">
    <w:name w:val="xl101"/>
    <w:basedOn w:val="Normal"/>
    <w:rsid w:val="00FB1C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02">
    <w:name w:val="xl102"/>
    <w:basedOn w:val="Normal"/>
    <w:rsid w:val="00FB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03">
    <w:name w:val="xl103"/>
    <w:basedOn w:val="Normal"/>
    <w:rsid w:val="00FB1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04">
    <w:name w:val="xl104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05">
    <w:name w:val="xl105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06">
    <w:name w:val="xl106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07">
    <w:name w:val="xl107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08">
    <w:name w:val="xl108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09">
    <w:name w:val="xl109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0">
    <w:name w:val="xl110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1">
    <w:name w:val="xl111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2">
    <w:name w:val="xl112"/>
    <w:basedOn w:val="Normal"/>
    <w:rsid w:val="00FB1C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3">
    <w:name w:val="xl113"/>
    <w:basedOn w:val="Normal"/>
    <w:rsid w:val="00FB1CD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4">
    <w:name w:val="xl114"/>
    <w:basedOn w:val="Normal"/>
    <w:rsid w:val="00FB1C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5">
    <w:name w:val="xl115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6">
    <w:name w:val="xl116"/>
    <w:basedOn w:val="Normal"/>
    <w:rsid w:val="00FB1C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7">
    <w:name w:val="xl117"/>
    <w:basedOn w:val="Normal"/>
    <w:rsid w:val="00FB1C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18">
    <w:name w:val="xl118"/>
    <w:basedOn w:val="Normal"/>
    <w:rsid w:val="00FB1CD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19">
    <w:name w:val="xl119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20">
    <w:name w:val="xl120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21">
    <w:name w:val="xl121"/>
    <w:basedOn w:val="Normal"/>
    <w:rsid w:val="00FB1C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22">
    <w:name w:val="xl122"/>
    <w:basedOn w:val="Normal"/>
    <w:rsid w:val="00FB1CD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23">
    <w:name w:val="xl123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24">
    <w:name w:val="xl124"/>
    <w:basedOn w:val="Normal"/>
    <w:rsid w:val="00FB1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25">
    <w:name w:val="xl125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26">
    <w:name w:val="xl126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27">
    <w:name w:val="xl127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28">
    <w:name w:val="xl128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29">
    <w:name w:val="xl129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30">
    <w:name w:val="xl130"/>
    <w:basedOn w:val="Normal"/>
    <w:rsid w:val="00FB1C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31">
    <w:name w:val="xl131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32">
    <w:name w:val="xl132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33">
    <w:name w:val="xl133"/>
    <w:basedOn w:val="Normal"/>
    <w:rsid w:val="00FB1C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134">
    <w:name w:val="xl134"/>
    <w:basedOn w:val="Normal"/>
    <w:rsid w:val="00FB1C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135">
    <w:name w:val="xl135"/>
    <w:basedOn w:val="Normal"/>
    <w:rsid w:val="00FB1CD9"/>
    <w:pPr>
      <w:pBdr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es-MX"/>
      <w14:ligatures w14:val="none"/>
    </w:rPr>
  </w:style>
  <w:style w:type="paragraph" w:customStyle="1" w:styleId="xl136">
    <w:name w:val="xl136"/>
    <w:basedOn w:val="Normal"/>
    <w:rsid w:val="00FB1CD9"/>
    <w:pPr>
      <w:pBdr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137">
    <w:name w:val="xl137"/>
    <w:basedOn w:val="Normal"/>
    <w:rsid w:val="00FB1C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138">
    <w:name w:val="xl138"/>
    <w:basedOn w:val="Normal"/>
    <w:rsid w:val="00FB1C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139">
    <w:name w:val="xl139"/>
    <w:basedOn w:val="Normal"/>
    <w:rsid w:val="00FB1CD9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140">
    <w:name w:val="xl140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41">
    <w:name w:val="xl141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42">
    <w:name w:val="xl142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es-MX"/>
      <w14:ligatures w14:val="none"/>
    </w:rPr>
  </w:style>
  <w:style w:type="paragraph" w:customStyle="1" w:styleId="xl143">
    <w:name w:val="xl143"/>
    <w:basedOn w:val="Normal"/>
    <w:rsid w:val="00FB1CD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44">
    <w:name w:val="xl144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145">
    <w:name w:val="xl145"/>
    <w:basedOn w:val="Normal"/>
    <w:rsid w:val="00FB1C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es-MX"/>
      <w14:ligatures w14:val="none"/>
    </w:rPr>
  </w:style>
  <w:style w:type="paragraph" w:customStyle="1" w:styleId="xl146">
    <w:name w:val="xl146"/>
    <w:basedOn w:val="Normal"/>
    <w:rsid w:val="00FB1C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es-MX"/>
      <w14:ligatures w14:val="none"/>
    </w:rPr>
  </w:style>
  <w:style w:type="paragraph" w:customStyle="1" w:styleId="xl147">
    <w:name w:val="xl147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48">
    <w:name w:val="xl148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49">
    <w:name w:val="xl149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50">
    <w:name w:val="xl150"/>
    <w:basedOn w:val="Normal"/>
    <w:rsid w:val="00FB1CD9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51">
    <w:name w:val="xl151"/>
    <w:basedOn w:val="Normal"/>
    <w:rsid w:val="00FB1CD9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52">
    <w:name w:val="xl152"/>
    <w:basedOn w:val="Normal"/>
    <w:rsid w:val="00FB1CD9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53">
    <w:name w:val="xl153"/>
    <w:basedOn w:val="Normal"/>
    <w:rsid w:val="00FB1CD9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154">
    <w:name w:val="xl154"/>
    <w:basedOn w:val="Normal"/>
    <w:rsid w:val="00FB1CD9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155">
    <w:name w:val="xl155"/>
    <w:basedOn w:val="Normal"/>
    <w:rsid w:val="00FB1CD9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s-MX"/>
      <w14:ligatures w14:val="none"/>
    </w:rPr>
  </w:style>
  <w:style w:type="paragraph" w:customStyle="1" w:styleId="xl156">
    <w:name w:val="xl156"/>
    <w:basedOn w:val="Normal"/>
    <w:rsid w:val="00FB1CD9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57">
    <w:name w:val="xl157"/>
    <w:basedOn w:val="Normal"/>
    <w:rsid w:val="00FB1CD9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58">
    <w:name w:val="xl158"/>
    <w:basedOn w:val="Normal"/>
    <w:rsid w:val="00FB1CD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59">
    <w:name w:val="xl159"/>
    <w:basedOn w:val="Normal"/>
    <w:rsid w:val="00FB1CD9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60">
    <w:name w:val="xl160"/>
    <w:basedOn w:val="Normal"/>
    <w:rsid w:val="00FB1CD9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61">
    <w:name w:val="xl161"/>
    <w:basedOn w:val="Normal"/>
    <w:rsid w:val="00FB1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62">
    <w:name w:val="xl162"/>
    <w:basedOn w:val="Normal"/>
    <w:rsid w:val="00FB1CD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63">
    <w:name w:val="xl163"/>
    <w:basedOn w:val="Normal"/>
    <w:rsid w:val="00FB1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64">
    <w:name w:val="xl164"/>
    <w:basedOn w:val="Normal"/>
    <w:rsid w:val="00FB1CD9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65">
    <w:name w:val="xl165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66">
    <w:name w:val="xl166"/>
    <w:basedOn w:val="Normal"/>
    <w:rsid w:val="00FB1CD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67">
    <w:name w:val="xl167"/>
    <w:basedOn w:val="Normal"/>
    <w:rsid w:val="00FB1C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68">
    <w:name w:val="xl168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69">
    <w:name w:val="xl169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70">
    <w:name w:val="xl170"/>
    <w:basedOn w:val="Normal"/>
    <w:rsid w:val="00FB1C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71">
    <w:name w:val="xl171"/>
    <w:basedOn w:val="Normal"/>
    <w:rsid w:val="00FB1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72">
    <w:name w:val="xl172"/>
    <w:basedOn w:val="Normal"/>
    <w:rsid w:val="00FB1C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73">
    <w:name w:val="xl173"/>
    <w:basedOn w:val="Normal"/>
    <w:rsid w:val="00FB1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74">
    <w:name w:val="xl174"/>
    <w:basedOn w:val="Normal"/>
    <w:rsid w:val="00FB1C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75">
    <w:name w:val="xl175"/>
    <w:basedOn w:val="Normal"/>
    <w:rsid w:val="00FB1C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76">
    <w:name w:val="xl176"/>
    <w:basedOn w:val="Normal"/>
    <w:rsid w:val="00FB1C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77">
    <w:name w:val="xl177"/>
    <w:basedOn w:val="Normal"/>
    <w:rsid w:val="00FB1C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78">
    <w:name w:val="xl178"/>
    <w:basedOn w:val="Normal"/>
    <w:rsid w:val="00FB1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79">
    <w:name w:val="xl179"/>
    <w:basedOn w:val="Normal"/>
    <w:rsid w:val="00FB1C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80">
    <w:name w:val="xl180"/>
    <w:basedOn w:val="Normal"/>
    <w:rsid w:val="00FB1C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MX"/>
      <w14:ligatures w14:val="none"/>
    </w:rPr>
  </w:style>
  <w:style w:type="paragraph" w:customStyle="1" w:styleId="xl181">
    <w:name w:val="xl181"/>
    <w:basedOn w:val="Normal"/>
    <w:rsid w:val="00FB1C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82">
    <w:name w:val="xl182"/>
    <w:basedOn w:val="Normal"/>
    <w:rsid w:val="00FB1C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83">
    <w:name w:val="xl183"/>
    <w:basedOn w:val="Normal"/>
    <w:rsid w:val="00FB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FB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B1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zas.bcs.gob.mx/wp-content/themes/voice/assets/images/transparencia/marco_program/ley_ingresos/inici_ley_ing2024.pdf" TargetMode="External"/><Relationship Id="rId13" Type="http://schemas.openxmlformats.org/officeDocument/2006/relationships/hyperlink" Target="https://finanzas.bcs.gob.mx/wp-content/themes/voice/assets/images/boletines/2024/24.pdf" TargetMode="External"/><Relationship Id="rId18" Type="http://schemas.openxmlformats.org/officeDocument/2006/relationships/hyperlink" Target="https://finanzas.bcs.gob.mx/wp-content/themes/voice/assets/images/boletines/2024/24.pdf" TargetMode="External"/><Relationship Id="rId26" Type="http://schemas.openxmlformats.org/officeDocument/2006/relationships/hyperlink" Target="https://finanzas.bcs.gob.mx/wp-content/themes/voice/assets/images/boletines/2024/24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inanzas.bcs.gob.mx/wp-content/themes/voice/assets/images/transparencia/marco_program/ley_ingresos/inici_ley_ing2024.pdf" TargetMode="External"/><Relationship Id="rId7" Type="http://schemas.openxmlformats.org/officeDocument/2006/relationships/hyperlink" Target="https://finanzas.bcs.gob.mx/wp-content/themes/voice/assets/images/boletines/2024/24.pdf" TargetMode="External"/><Relationship Id="rId12" Type="http://schemas.openxmlformats.org/officeDocument/2006/relationships/hyperlink" Target="https://finanzas.bcs.gob.mx/wp-content/themes/voice/assets/images/transparencia/marco_program/ley_ingresos/inici_ley_ing2024.pdf" TargetMode="External"/><Relationship Id="rId17" Type="http://schemas.openxmlformats.org/officeDocument/2006/relationships/hyperlink" Target="https://finanzas.bcs.gob.mx/wp-content/themes/voice/assets/images/transparencia/marco_program/ley_ingresos/inici_ley_ing2024.pdf" TargetMode="External"/><Relationship Id="rId25" Type="http://schemas.openxmlformats.org/officeDocument/2006/relationships/hyperlink" Target="https://finanzas.bcs.gob.mx/wp-content/themes/voice/assets/images/armonizacion_contable/cumpl_V/anual/2024/01.-%20Ley%20de%20Ingresos%20para%20el%20Ejercicio%20Fiscal%202024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nanzas.bcs.gob.mx/wp-content/themes/voice/assets/images/boletines/2024/24.pdf" TargetMode="External"/><Relationship Id="rId20" Type="http://schemas.openxmlformats.org/officeDocument/2006/relationships/hyperlink" Target="https://finanzas.bcs.gob.mx/wp-content/themes/voice/assets/images/boletines/2024/24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finanzas.bcs.gob.mx/wp-content/themes/voice/assets/images/armonizacion_contable/cumpl_V/anual/2024/01.-%20Ley%20de%20Ingresos%20para%20el%20Ejercicio%20Fiscal%202024.pdf" TargetMode="External"/><Relationship Id="rId11" Type="http://schemas.openxmlformats.org/officeDocument/2006/relationships/hyperlink" Target="https://finanzas.bcs.gob.mx/wp-content/themes/voice/assets/images/boletines/2024/24.pdf" TargetMode="External"/><Relationship Id="rId24" Type="http://schemas.openxmlformats.org/officeDocument/2006/relationships/hyperlink" Target="https://finanzas.bcs.gob.mx/wp-content/themes/voice/assets/images/boletines/2024/24.pdf" TargetMode="External"/><Relationship Id="rId5" Type="http://schemas.openxmlformats.org/officeDocument/2006/relationships/hyperlink" Target="https://finanzas.bcs.gob.mx/wp-content/themes/voice/assets/images/boletines/2024/24.pdf" TargetMode="External"/><Relationship Id="rId15" Type="http://schemas.openxmlformats.org/officeDocument/2006/relationships/hyperlink" Target="https://finanzas.bcs.gob.mx/wp-content/themes/voice/assets/images/boletines/2024/24.pdf" TargetMode="External"/><Relationship Id="rId23" Type="http://schemas.openxmlformats.org/officeDocument/2006/relationships/hyperlink" Target="https://finanzas.bcs.gob.mx/wp-content/themes/voice/assets/images/transparencia/marco_program/ley_ingresos/inici_ley_ing202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inanzas.bcs.gob.mx/wp-content/themes/voice/assets/images/armonizacion_contable/cumpl_V/anual/2024/01.-%20Ley%20de%20Ingresos%20para%20el%20Ejercicio%20Fiscal%202024.pdf" TargetMode="External"/><Relationship Id="rId19" Type="http://schemas.openxmlformats.org/officeDocument/2006/relationships/hyperlink" Target="https://finanzas.bcs.gob.mx/wp-content/themes/voice/assets/images/transparencia/marco_program/ley_ingresos/inici_ley_ing2024.pdf" TargetMode="External"/><Relationship Id="rId4" Type="http://schemas.openxmlformats.org/officeDocument/2006/relationships/hyperlink" Target="https://finanzas.bcs.gob.mx/wp-content/themes/voice/assets/images/transparencia/marco_program/ley_ingresos/inici_ley_ing2024.pdf" TargetMode="External"/><Relationship Id="rId9" Type="http://schemas.openxmlformats.org/officeDocument/2006/relationships/hyperlink" Target="https://finanzas.bcs.gob.mx/wp-content/themes/voice/assets/images/boletines/2024/24.pdf" TargetMode="External"/><Relationship Id="rId14" Type="http://schemas.openxmlformats.org/officeDocument/2006/relationships/hyperlink" Target="https://finanzas.bcs.gob.mx/wp-content/themes/voice/assets/images/armonizacion_contable/cumpl_V/anual/2024/01.-%20Ley%20de%20Ingresos%20para%20el%20Ejercicio%20Fiscal%202024.pdf" TargetMode="External"/><Relationship Id="rId22" Type="http://schemas.openxmlformats.org/officeDocument/2006/relationships/hyperlink" Target="https://finanzas.bcs.gob.mx/wp-content/themes/voice/assets/images/boletines/2024/24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2203</Words>
  <Characters>12121</Characters>
  <Application>Microsoft Office Word</Application>
  <DocSecurity>0</DocSecurity>
  <Lines>101</Lines>
  <Paragraphs>28</Paragraphs>
  <ScaleCrop>false</ScaleCrop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DCONTABILIDAD</dc:creator>
  <cp:keywords/>
  <dc:description/>
  <cp:lastModifiedBy>DCONTABILIDAD</cp:lastModifiedBy>
  <cp:revision>1</cp:revision>
  <dcterms:created xsi:type="dcterms:W3CDTF">2025-04-30T21:13:00Z</dcterms:created>
  <dcterms:modified xsi:type="dcterms:W3CDTF">2025-04-30T21:14:00Z</dcterms:modified>
</cp:coreProperties>
</file>